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New process after loss or destruction</w:t>
      </w:r>
    </w:p>
    <w:p>
      <w:pPr>
        <w:jc w:val="both"/>
        <w:spacing w:before="100" w:after="100"/>
        <w:ind w:start="360"/>
        <w:ind w:firstLine="360"/>
      </w:pPr>
      <w:r>
        <w:rPr/>
      </w:r>
      <w:r>
        <w:rPr/>
      </w:r>
      <w:r>
        <w:t xml:space="preserve">When in an action pending, the loss or destruction of a writ, complaint or other process after service is proved by affidavit or otherwise, the court may allow a new one to be filed, corresponding thereto as nearly as may be, with the same effect as the one lost or destroyed.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New process after loss or destruction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New process after loss or destruction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 NEW PROCESS AFTER LOSS OR DESTRUCTION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