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§6033. RETURN OF THE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