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 petitions for declaration of citizenship</w:t>
      </w:r>
    </w:p>
    <w:p>
      <w:pPr>
        <w:jc w:val="both"/>
        <w:spacing w:before="100" w:after="100"/>
        <w:ind w:start="360"/>
        <w:ind w:firstLine="360"/>
      </w:pPr>
      <w:r>
        <w:rPr/>
      </w:r>
      <w:r>
        <w:rPr/>
      </w:r>
      <w:r>
        <w:t xml:space="preserve">The Superior Court shall have jurisdiction to hear and determine complaints of persons alleging themselves to be citizens, resident and domiciled inhabitants of this State and praying a judicial declaration of such citizenship, residence and domicile. Such complaints shall set forth the grounds upon which the application is based, shall be supported by such evidence as the court shall deem necessary and shall be filed, heard and determined in the county in which the plaintiff claims residence. If such plaintiff desires a jury trial upon his complaint, he may indorse a request therefor upon the complaint at the time of entry and shall thereupon be entitled to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 petitions for declaration of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§6452. -- PETITIONS FOR DECLARATION OF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