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6454</w:t>
        <w:t xml:space="preserve">.  </w:t>
      </w:r>
      <w:r>
        <w:rPr>
          <w:b/>
        </w:rPr>
        <w:t xml:space="preserve">Change of residence</w:t>
      </w:r>
    </w:p>
    <w:p>
      <w:pPr>
        <w:jc w:val="both"/>
        <w:spacing w:before="100" w:after="100"/>
        <w:ind w:start="360"/>
        <w:ind w:firstLine="360"/>
      </w:pPr>
      <w:r>
        <w:rPr/>
      </w:r>
      <w:r>
        <w:rPr/>
      </w:r>
      <w:r>
        <w:t xml:space="preserve">In the event of a subsequent change of residence on the part of any person so declared to be a citizen of this State, said court shall have jurisdiction and authority upon complaint therefor and like proceedings had to make a judicial declaration of such change of residence, and decree that the former judgment entered in such case shall thereafter be of no force and effect.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§6454. Change of residence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§6454. Change of residence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§6454. CHANGE OF RESIDENCE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