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§6707. Defendant's remedy if evicted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§6707. Defendant's remedy if evicted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§6707. DEFENDANT'S REMEDY IF EVICTED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