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w:t>
        <w:t xml:space="preserve">.  </w:t>
      </w:r>
      <w:r>
        <w:rPr>
          <w:b/>
        </w:rPr>
        <w:t xml:space="preserve">Short title</w:t>
      </w:r>
    </w:p>
    <w:p>
      <w:pPr>
        <w:jc w:val="both"/>
        <w:spacing w:before="100" w:after="100"/>
        <w:ind w:start="360"/>
        <w:ind w:firstLine="360"/>
      </w:pPr>
      <w:r>
        <w:rPr/>
      </w:r>
      <w:r>
        <w:rPr/>
      </w:r>
      <w:r>
        <w:t xml:space="preserve">This Act may be cited as the Uniform Enforcement of Foreign Judgments Act.</w:t>
      </w:r>
      <w:r>
        <w:t xml:space="preserve">  </w:t>
      </w:r>
      <w:r xmlns:wp="http://schemas.openxmlformats.org/drawingml/2010/wordprocessingDrawing" xmlns:w15="http://schemas.microsoft.com/office/word/2012/wordml">
        <w:rPr>
          <w:rFonts w:ascii="Arial" w:hAnsi="Arial" w:cs="Arial"/>
          <w:sz w:val="22"/>
          <w:szCs w:val="22"/>
        </w:rPr>
        <w:t xml:space="preserve">[PL 1975, c. 335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§8001.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