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8243</w:t>
        <w:t xml:space="preserve">.  </w:t>
      </w:r>
      <w:r>
        <w:rPr>
          <w:b/>
        </w:rPr>
        <w:t xml:space="preserve">Jurisdiction</w:t>
      </w:r>
    </w:p>
    <w:p>
      <w:pPr>
        <w:jc w:val="both"/>
        <w:spacing w:before="100" w:after="100"/>
        <w:ind w:start="360"/>
        <w:ind w:firstLine="360"/>
      </w:pPr>
      <w:r>
        <w:rPr/>
      </w:r>
      <w:r>
        <w:rPr/>
      </w:r>
      <w:r>
        <w:t xml:space="preserve">The Superior Court has original jurisdiction over all claims permitted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1993,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§8243.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§8243.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§8243.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