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Actions against sheriff for escape; for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Actions against sheriff for escape; for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§851. ACTIONS AGAINST SHERIFF FOR ESCAPE; FOR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