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Mutual and open accounts current</w:t>
      </w:r>
    </w:p>
    <w:p>
      <w:pPr>
        <w:jc w:val="both"/>
        <w:spacing w:before="100" w:after="100"/>
        <w:ind w:start="360"/>
        <w:ind w:firstLine="360"/>
      </w:pPr>
      <w:r>
        <w:rPr/>
      </w:r>
      <w:r>
        <w:rPr/>
      </w:r>
      <w:r>
        <w:t xml:space="preserve">In contract actions to recover the balance due, where there have been mutual dealings between the parties, the items of which are unsettled, whether kept or proved by one party or both, the cause of action shall be deemed to accrue at the time of the last item proved in such account.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Mutual and open accounts current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Mutual and open accounts current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§852. MUTUAL AND OPEN ACCOUNTS CURRENT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