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866</w:t>
        <w:t xml:space="preserve">.  </w:t>
      </w:r>
      <w:r>
        <w:rPr>
          <w:b/>
        </w:rPr>
        <w:t xml:space="preserve">Defendant out of State when action commenced; insolvency</w:t>
      </w:r>
    </w:p>
    <w:p>
      <w:pPr>
        <w:jc w:val="both"/>
        <w:spacing w:before="100" w:after="100"/>
        <w:ind w:start="360"/>
        <w:ind w:firstLine="360"/>
      </w:pPr>
      <w:r>
        <w:rPr/>
      </w:r>
      <w:r>
        <w:rPr/>
      </w:r>
      <w:r>
        <w:t xml:space="preserve">If a person is out of the State when a cause of action accrues against him, the action may be commenced within the time limited therefor after he comes into the State. If a person is absent from and resides out of the State, after a cause of action has accrued against him, the time of his absence from the State shall not be taken as a part of the time limited for the commencement of the action. If a person is adjudged an insolvent debtor after a cause of action has accrued against him, and such cause of action is one provable in insolvency, the time of the pendency of his insolvency proceedings shall not be taken as a part of the time limited for the commencement of the action. No action shall be brought by any person whose cause of action has been barred by the laws of any state, territory or country while all the parties have resided therein.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§866. Defendant out of State when action commenced; insolvency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§866. Defendant out of State when action commenced; insolvency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§866. DEFENDANT OUT OF STATE WHEN ACTION COMMENCED; INSOLVENCY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