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868</w:t>
        <w:t xml:space="preserve">.  </w:t>
      </w:r>
      <w:r>
        <w:rPr>
          <w:b/>
        </w:rPr>
        <w:t xml:space="preserve">Action to recover damages for land taken for public use</w:t>
      </w:r>
    </w:p>
    <w:p>
      <w:pPr>
        <w:jc w:val="both"/>
        <w:spacing w:before="100" w:after="100"/>
        <w:ind w:start="360"/>
        <w:ind w:firstLine="360"/>
      </w:pPr>
      <w:r>
        <w:rPr/>
      </w:r>
      <w:r>
        <w:rPr/>
      </w:r>
      <w:r>
        <w:t xml:space="preserve">No action or proceeding shall be brought or maintained to recover damages caused by the taking of any land, rights or other property to be used for a public purpose when such taking has been authorized by the Legislature, unless the same is commenced within 3 years after the cause first accrued for which the same or like proceedings might have been commenced, nor shall any compensation be awarded for damages sustained for more than 3 years before the commencement of proceedings to recover the same.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§868. Action to recover damages for land taken for public 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§868. Action to recover damages for land taken for public 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§868. ACTION TO RECOVER DAMAGES FOR LAND TAKEN FOR PUBLIC 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