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9102</w:t>
        <w:t xml:space="preserve">.  </w:t>
      </w:r>
      <w:r>
        <w:rPr>
          <w:b/>
        </w:rPr>
        <w:t xml:space="preserve">Doxing of minor prohibited</w:t>
      </w:r>
    </w:p>
    <w:p>
      <w:pPr>
        <w:jc w:val="both"/>
        <w:spacing w:before="100" w:after="100"/>
        <w:ind w:start="360"/>
        <w:ind w:firstLine="360"/>
      </w:pPr>
      <w:r>
        <w:rPr/>
      </w:r>
      <w:r>
        <w:rPr/>
      </w:r>
      <w:r>
        <w:t xml:space="preserve">A person may not engage in conduct that constitutes doxing of a minor.  A person that violates this section may be subject to a civil action for damages pursuant to </w:t>
      </w:r>
      <w:r>
        <w:t>section 9103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417,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417,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§9102. Doxing of minor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§9102. Doxing of minor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§9102. DOXING OF MINOR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