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1025-A</w:t>
        <w:t xml:space="preserve">.  </w:t>
      </w:r>
      <w:r>
        <w:rPr>
          <w:b/>
        </w:rPr>
        <w:t xml:space="preserve">County jail employees</w:t>
      </w:r>
    </w:p>
    <w:p>
      <w:pPr>
        <w:jc w:val="both"/>
        <w:spacing w:before="100" w:after="100"/>
        <w:ind w:start="360"/>
        <w:ind w:firstLine="360"/>
      </w:pPr>
      <w:r>
        <w:rPr/>
      </w:r>
      <w:r>
        <w:rPr/>
      </w:r>
      <w:r>
        <w:t xml:space="preserve">If a court or bail commissioner issues an order that a defendant in custody be released, pending trial, on personal recognizance or upon execution of an unsecured appearance bond, whether or not accompanied by one or more conditions under </w:t>
      </w:r>
      <w:r>
        <w:t>section 1026, subsection 3</w:t>
      </w:r>
      <w:r>
        <w:t xml:space="preserve">, an employee of the county jail having custody of the defendant, if authorized to do so by the sheriff, may, without fee, prepare the personal recognizance or bond and take the acknowledgment of the defendant.</w:t>
      </w:r>
      <w:r>
        <w:t xml:space="preserve">  </w:t>
      </w:r>
      <w:r xmlns:wp="http://schemas.openxmlformats.org/drawingml/2010/wordprocessingDrawing" xmlns:w15="http://schemas.microsoft.com/office/word/2012/wordml">
        <w:rPr>
          <w:rFonts w:ascii="Arial" w:hAnsi="Arial" w:cs="Arial"/>
          <w:sz w:val="22"/>
          <w:szCs w:val="22"/>
        </w:rPr>
        <w:t xml:space="preserve">[PL 2023,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541, §1 (NEW). PL 2023, c. 508,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§1025-A. County jail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§1025-A. County jail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§1025-A. COUNTY JAIL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