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1094-C</w:t>
        <w:t xml:space="preserve">.  </w:t>
      </w:r>
      <w:r>
        <w:rPr>
          <w:b/>
        </w:rPr>
        <w:t xml:space="preserve">Improper contact with alleged murder victim's family or household member</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an alleged murder victim's family or household member if:</w:t>
      </w:r>
    </w:p>
    <w:p>
      <w:pPr>
        <w:jc w:val="both"/>
        <w:spacing w:before="100" w:after="0"/>
        <w:ind w:start="720"/>
      </w:pPr>
      <w:r>
        <w:rPr/>
        <w:t>A</w:t>
        <w:t xml:space="preserve">.  </w:t>
      </w:r>
      <w:r>
        <w:rPr/>
      </w:r>
      <w:r>
        <w:t xml:space="preserve">The person is being detained as a result of the person's arrest for the intentional or knowing murder of the alleged victim;</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B</w:t>
        <w:t xml:space="preserve">.  </w:t>
      </w:r>
      <w:r>
        <w:rPr/>
      </w:r>
      <w:r>
        <w:t xml:space="preserve">A Harnish bail proceeding:</w:t>
      </w:r>
    </w:p>
    <w:p>
      <w:pPr>
        <w:jc w:val="both"/>
        <w:spacing w:before="100" w:after="0"/>
        <w:ind w:start="1080"/>
      </w:pPr>
      <w:r>
        <w:rPr/>
        <w:t>(</w:t>
        <w:t>1</w:t>
        <w:t xml:space="preserve">)  </w:t>
      </w:r>
      <w:r>
        <w:rPr/>
      </w:r>
      <w:r>
        <w:t xml:space="preserve">Has not yet taken place;</w:t>
      </w:r>
    </w:p>
    <w:p>
      <w:pPr>
        <w:jc w:val="both"/>
        <w:spacing w:before="100" w:after="0"/>
        <w:ind w:start="1080"/>
      </w:pPr>
      <w:r>
        <w:rPr/>
        <w:t>(</w:t>
        <w:t>2</w:t>
        <w:t xml:space="preserve">)  </w:t>
      </w:r>
      <w:r>
        <w:rPr/>
      </w:r>
      <w:r>
        <w:t xml:space="preserve">Has been waived in open court by the person; or</w:t>
      </w:r>
    </w:p>
    <w:p>
      <w:pPr>
        <w:jc w:val="both"/>
        <w:spacing w:before="100" w:after="0"/>
        <w:ind w:start="1080"/>
      </w:pPr>
      <w:r>
        <w:rPr/>
        <w:t>(</w:t>
        <w:t>3</w:t>
        <w:t xml:space="preserve">)  </w:t>
      </w:r>
      <w:r>
        <w:rPr/>
      </w:r>
      <w:r>
        <w:t xml:space="preserve">Has taken place and the person's conditional right to bail has been extinguished and bail has been denied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C</w:t>
        <w:t xml:space="preserve">.  </w:t>
      </w:r>
      <w:r>
        <w:rPr/>
      </w:r>
      <w:r>
        <w:t xml:space="preserve">The person:</w:t>
      </w:r>
    </w:p>
    <w:p>
      <w:pPr>
        <w:jc w:val="both"/>
        <w:spacing w:before="100" w:after="0"/>
        <w:ind w:start="1080"/>
      </w:pPr>
      <w:r>
        <w:rPr/>
        <w:t>(</w:t>
        <w:t>1</w:t>
        <w:t xml:space="preserve">)  </w:t>
      </w:r>
      <w:r>
        <w:rPr/>
      </w:r>
      <w:r>
        <w:t xml:space="preserve">In the circumstance specified in </w:t>
      </w:r>
      <w:r>
        <w:t>paragraph B</w:t>
      </w:r>
      <w:r>
        <w:t xml:space="preserve">, subparagraph (1) is notified, in writing or otherwise, by the detaining county jail, correctional facility or mental health institute staff not to make direct or indirect contact with any specifically identified family or household member of the alleged victim of the crime for which the person is being detained; or</w:t>
      </w:r>
    </w:p>
    <w:p>
      <w:pPr>
        <w:jc w:val="both"/>
        <w:spacing w:before="100" w:after="0"/>
        <w:ind w:start="1080"/>
      </w:pPr>
      <w:r>
        <w:rPr/>
        <w:t>(</w:t>
        <w:t>2</w:t>
        <w:t xml:space="preserve">)  </w:t>
      </w:r>
      <w:r>
        <w:rPr/>
      </w:r>
      <w:r>
        <w:t xml:space="preserve">In the circumstance specified in </w:t>
      </w:r>
      <w:r>
        <w:t>paragraph B</w:t>
      </w:r>
      <w:r>
        <w:t xml:space="preserve">, subparagraph (2) or (3) is notified on the record or in writing by the court not to make direct or indirect contact with any specifically identified family or household member of the alleged victim of the crime for which the person is being detained; and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D</w:t>
        <w:t xml:space="preserve">.  </w:t>
      </w:r>
      <w:r>
        <w:rPr/>
      </w:r>
      <w:r>
        <w:t xml:space="preserve">After the notification specified in </w:t>
      </w:r>
      <w:r>
        <w:t>paragraph C</w:t>
      </w:r>
      <w:r>
        <w:t xml:space="preserve">, the person intentionally or knowingly makes direct or indirect contact with the specifically identified family or household member of the alleged victim of the crime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360"/>
      </w:pPr>
      <w:r>
        <w:rPr/>
      </w:r>
      <w:r>
        <w:rPr/>
      </w:r>
      <w:r>
        <w:t xml:space="preserve">As used in this subsection, "family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§14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 PL 2021, c. 647, Pt. B, §14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§1094-C. Improper contact with alleged murder victim's family or household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§1094-C. Improper contact with alleged murder victim's family or household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§1094-C. IMPROPER CONTACT WITH ALLEGED MURDER VICTIM'S FAMILY OR HOUSEHOLD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