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1470</w:t>
        <w:t xml:space="preserve">.  </w:t>
      </w:r>
      <w:r>
        <w:rPr>
          <w:b/>
        </w:rPr>
        <w:t xml:space="preserve">Short title</w:t>
      </w:r>
    </w:p>
    <w:p>
      <w:pPr>
        <w:jc w:val="both"/>
        <w:spacing w:before="100" w:after="100"/>
        <w:ind w:start="360"/>
        <w:ind w:firstLine="360"/>
      </w:pPr>
      <w:r>
        <w:rPr/>
      </w:r>
      <w:r>
        <w:rPr/>
      </w:r>
      <w:r>
        <w:t xml:space="preserve">This subchapter may be cited as the "Uniform Rendition of Prisoners as Witnesses in Criminal Proceedings Act."</w:t>
      </w:r>
      <w:r>
        <w:t xml:space="preserve">  </w:t>
      </w:r>
      <w:r xmlns:wp="http://schemas.openxmlformats.org/drawingml/2010/wordprocessingDrawing" xmlns:w15="http://schemas.microsoft.com/office/word/2012/wordml">
        <w:rPr>
          <w:rFonts w:ascii="Arial" w:hAnsi="Arial" w:cs="Arial"/>
          <w:sz w:val="22"/>
          <w:szCs w:val="22"/>
        </w:rPr>
        <w:t xml:space="preserve">[PL 1967, c. 317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317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§1470.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§1470.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§1470.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