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authorizes the officer or other person to whom directed to arrest the accused at any place where the accused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the law enforcement officer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[RR 2023, c. 2, Pt. D,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RR 2023, c. 2, Pt. D,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§208. WARRANT TO AUTHORIZE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