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Prisoner confined in jail</w:t>
      </w:r>
    </w:p>
    <w:p>
      <w:pPr>
        <w:jc w:val="both"/>
        <w:spacing w:before="100" w:after="100"/>
        <w:ind w:start="360"/>
        <w:ind w:firstLine="360"/>
      </w:pPr>
      <w:r>
        <w:rPr/>
      </w:r>
      <w:r>
        <w:rPr/>
      </w:r>
      <w:r>
        <w:t xml:space="preserve">The officer or person executing the Governor's warrant of arrest or the agent of the demanding state to whom the prisoner may have been delivered may, when necessary, confine the prisoner in the jail of any county or city through which the prisoner may pass. The keeper of the jail shall receive and safely keep the prisoner until the person having charge of the prisoner is ready to proceed on the person's route, such person being chargeable with the expense of keeping.</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w:pPr>
        <w:jc w:val="both"/>
        <w:spacing w:before="100" w:after="100"/>
        <w:ind w:start="360"/>
        <w:ind w:firstLine="360"/>
      </w:pPr>
      <w:r>
        <w:rPr/>
      </w:r>
      <w:r>
        <w:rPr/>
      </w:r>
      <w:r>
        <w:t xml:space="preserve">The officer or agent of a demanding state to whom a prisoner may have been delivered following extradition proceedings in another state, or to whom a prisoner may have been delivered after waiving extradition in the other state, and who is passing through this State with such a prisoner for the purpose of immediately returning the prisoner to the demanding state may, when necessary, confine the prisoner in the jail of any county or city through which the prisoner may pass. The keeper of the jail shall receive and safely keep the prisoner until the officer or agent having charge of the prisoner is ready to proceed on the officer's or agent's route, such officer or agent being chargeable with the expense of keeping. The officer or agent shall produce and show to the keeper of the jail satisfactory written evidence of the fact that the officer or agent is actually transporting the prisoner to the demanding state after a requisition by the executive authority of the demanding state. The prisoner is not entitled to demand a new requisition while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Prisoner confined in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Prisoner confined in jail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 PRISONER CONFINED IN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