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2122</w:t>
        <w:t xml:space="preserve">.  </w:t>
      </w:r>
      <w:r>
        <w:rPr>
          <w:b/>
        </w:rPr>
        <w:t xml:space="preserve">Purpose</w:t>
      </w:r>
    </w:p>
    <w:p>
      <w:pPr>
        <w:jc w:val="both"/>
        <w:spacing w:before="100" w:after="100"/>
        <w:ind w:start="360"/>
        <w:ind w:firstLine="360"/>
      </w:pPr>
      <w:r>
        <w:rPr/>
      </w:r>
      <w:r>
        <w:rPr/>
      </w:r>
      <w:r>
        <w:t xml:space="preserve">This chapter provides a comprehensive and, except for direct appeals from a criminal judgment, exclusive method of review of those criminal judgments and of post-sentencing proceedings occurring during the course of sentences. It is a remedy for illegal restraint and other impediments specified in </w:t>
      </w:r>
      <w:r>
        <w:t>section 2124</w:t>
      </w:r>
      <w:r>
        <w:t xml:space="preserve"> that have occurred directly or indirectly as a result of an illegal criminal judgment or post-sentencing proceeding. It replaces the remedies available pursuant to post-conviction habeas corpus, to the extent that review of a criminal conviction or proceedings were reviewable, the remedies available pursuant to common law habeas corpus, including habeas corpus as recognized in </w:t>
      </w:r>
      <w:r>
        <w:t>Title 14, sections 5501</w:t>
      </w:r>
      <w:r>
        <w:t xml:space="preserve"> and </w:t>
      </w:r>
      <w:r>
        <w:t>5509</w:t>
      </w:r>
      <w:r>
        <w:t xml:space="preserve"> to </w:t>
      </w:r>
      <w:r>
        <w:t>5546</w:t>
      </w:r>
      <w:r>
        <w:t xml:space="preserve">, coram nobis, audita querela, writ of error, declaratory judgment and any other previous common law or statutory method of review, except appeal of a judgment of conviction or juvenile adjudication and remedies that are incidental to proceedings in the trial court. The substantive extent of the remedy of post-conviction review is defined in this chapter and not defined in the remedies that it replaces; provided that this chapter provides and is construed to provide relief for those persons required to use this chapter as required by the Constitution of Maine, Article I, Section 10.</w:t>
      </w:r>
      <w:r>
        <w:t xml:space="preserve">  </w:t>
      </w:r>
      <w:r xmlns:wp="http://schemas.openxmlformats.org/drawingml/2010/wordprocessingDrawing" xmlns:w15="http://schemas.microsoft.com/office/word/2012/wordml">
        <w:rPr>
          <w:rFonts w:ascii="Arial" w:hAnsi="Arial" w:cs="Arial"/>
          <w:sz w:val="22"/>
          <w:szCs w:val="22"/>
        </w:rPr>
        <w:t xml:space="preserve">[PL 2011, c. 601,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701, §15 (NEW). PL 1997, c. 399, §1 (AMD). PL 2011, c. 601,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§2122.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§2122.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§2122.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