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the person's remedies under this chapter to challenge the person's extradition or has waived extradition, the district attorney shall promptly notify the agents of the demanding state that the fugitive is available to be returned to that state. If an agent does not appear within 30 days after the notification, the fugitive may be discharged from custody, except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[RR 2023, c. 2, Pt. D,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RR 2023, c. 2, Pt. D,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§226-A. DELIVERY OF FUGITIVE TO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