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3507</w:t>
        <w:t xml:space="preserve">.  </w:t>
      </w:r>
      <w:r>
        <w:rPr>
          <w:b/>
        </w:rPr>
        <w:t xml:space="preserve">Runaway juveniles returned from another state</w:t>
      </w:r>
    </w:p>
    <w:p>
      <w:pPr>
        <w:jc w:val="both"/>
        <w:spacing w:before="100" w:after="100"/>
        <w:ind w:start="360"/>
        <w:ind w:firstLine="360"/>
      </w:pPr>
      <w:r>
        <w:rPr/>
      </w:r>
      <w:r>
        <w:rPr/>
      </w:r>
      <w:r>
        <w:t xml:space="preserve">When a juvenile who has left the care of the juvenile's parents, guardian or legal custodian without that person's consent, is returned to Maine from another state, the juvenile must be referred immediately to a juvenile community corrections officer and must be processed according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624,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1985, c. 439, §21 (AMD). PL 1999, c. 624, §B21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§3507. Runaway juveniles returned from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§3507. Runaway juveniles returned from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§3507. RUNAWAY JUVENILES RETURNED FROM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