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Appearance of counsel by remote methods</w:t>
      </w:r>
    </w:p>
    <w:p>
      <w:pPr>
        <w:jc w:val="both"/>
        <w:spacing w:before="100" w:after="100"/>
        <w:ind w:start="360"/>
        <w:ind w:firstLine="360"/>
      </w:pPr>
      <w:r>
        <w:rPr/>
      </w:r>
      <w:r>
        <w:rPr/>
      </w:r>
      <w:r>
        <w:t xml:space="preserve">Unless the court orders otherwise in the interests of justice, the court shall schedule pretrial nontestimonial criminal matters in a manner that permits the appearance of counsel by remote methods to the greatest extent possible.  As used in this section, "remote methods" has the same meaning as in </w:t>
      </w:r>
      <w:r>
        <w:t>Title 1, section 403‑B,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 Appearance of counsel by remote methods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Appearance of counsel by remote methods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§458. APPEARANCE OF COUNSEL BY REMOTE METHODS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