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 Justice of the Superior Court, whichever court has jurisdiction over the matter to be heard, may order the person's removal into another county, when complaint has been made and warrant issued or an indictment has been found, charging the person so arrested or imprisoned with the commission of a crime in the other county, for examination or trial under the complaint or indictment; but, before issuing the order, the judge or justice must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[RR 2023, c. 2, Pt. D,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RR 2023, c. 2, Pt. D,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 REMOVAL OF PERSONS CHARGED WITH CRIME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