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District Court; warrants</w:t>
      </w:r>
    </w:p>
    <w:p>
      <w:pPr>
        <w:jc w:val="both"/>
        <w:spacing w:before="100" w:after="100"/>
        <w:ind w:start="360"/>
        <w:ind w:firstLine="360"/>
      </w:pPr>
      <w:r>
        <w:rPr/>
      </w:r>
      <w:r>
        <w:rPr/>
      </w:r>
      <w:r>
        <w:t xml:space="preserve">Judges of District Courts have all authority and powers formerly granted by law to judges of municipal courts.</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When a complaint or an information charging a person with the commission of an offense, or a duly authenticated arrest warrant issued by the Tribal Court of the Passamaquoddy Tribe or the Penobscot Nation, is presented to any Judge of the District Court, to a justice of the peace or to any other officer of the District Court authorized to issue process, the judge, justice of the peace or other officer shall issue a warrant in the name of the District Court for the arrest of that person, in that form and under the circumstances that the Supreme Judicial Court provides by rule.   A clerk of the District Court may accept a guilty plea upon payment of fines as set by the judge.</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A Judge of the District Court may try those brought before the judge for offenses within the judge's jurisdiction, although the penalty or fine accrues wholly or partly to the municipality of which the judge is a resident.</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§§22-24 (AMD). PL 1987, c. 736, §23 (AMD). PL 1991, c. 484, §7 (AMD). PL 1999, c. 368,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District Court;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District Court;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§706. DISTRICT COURT;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