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Recitation of ordinance or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Recitation of ordinance or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§756. RECITATION OF ORDINANCE OR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