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Inapplicability of this chapter to criminal history record information contained in certain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Inapplicability of this chapter to criminal history record information contained in certain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§708. INAPPLICABILITY OF THIS CHAPTER TO CRIMINAL HISTORY RECORD INFORMATION CONTAINED IN CERTAIN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