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2013, c. 507, §5 (AMD). PL 2023, c. 235,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§805.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