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Criminal use of noxious substance</w:t>
      </w:r>
    </w:p>
    <w:p>
      <w:pPr>
        <w:jc w:val="both"/>
        <w:spacing w:before="100" w:after="0"/>
        <w:ind w:start="360"/>
        <w:ind w:firstLine="360"/>
      </w:pPr>
      <w:r>
        <w:rPr>
          <w:b/>
        </w:rPr>
        <w:t>1</w:t>
        <w:t xml:space="preserve">.  </w:t>
      </w:r>
      <w:r>
        <w:rPr>
          <w:b/>
        </w:rPr>
      </w:r>
      <w:r>
        <w:t xml:space="preserve"> </w:t>
      </w:r>
      <w:r>
        <w:t xml:space="preserve">A person is guilty of criminal use of noxious substance if he intentionally deposits on the premises or in the vehicle or vessel of another, without his consent, any stink bomb or other device or substance which releases or is designed to release noxious offensive odors.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Criminal use of noxious substance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§1003. Criminal use of noxious substance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Criminal use of noxious substance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§1003. CRIMINAL USE OF NOXIOUS SUBSTANCE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