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1752</w:t>
        <w:t xml:space="preserve">.  </w:t>
      </w:r>
      <w:r>
        <w:rPr>
          <w:b/>
        </w:rPr>
        <w:t xml:space="preserve">Supervision fee as condition of probation</w:t>
      </w:r>
    </w:p>
    <w:p>
      <w:pPr>
        <w:jc w:val="both"/>
        <w:spacing w:before="100" w:after="100"/>
        <w:ind w:start="360"/>
        <w:ind w:firstLine="360"/>
      </w:pPr>
      <w:r>
        <w:rPr/>
      </w:r>
      <w:r>
        <w:rPr/>
      </w:r>
      <w:r>
        <w:t xml:space="preserve">If a court imposes a sentencing alternative authorized under </w:t>
      </w:r>
      <w:r>
        <w:t>section 1502</w:t>
      </w:r>
      <w:r>
        <w:t xml:space="preserve"> that includes a period of probation, it must attach as a condition of probation that the convicted individual pay, through the Department of Corrections, a supervision fee imposed pursuant to </w:t>
      </w:r>
      <w:r>
        <w:t>section 1807, subsection 6</w:t>
      </w:r>
      <w:r>
        <w:t xml:space="preserve"> for the term of probation.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§1752. Supervision fee as condition of probation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§1752. Supervision fee as condition of probation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§1752. SUPERVISION FEE AS CONDITION OF PROBATION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