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Review</w:t>
      </w:r>
    </w:p>
    <w:p>
      <w:pPr>
        <w:jc w:val="both"/>
        <w:spacing w:before="100" w:after="100"/>
        <w:ind w:start="360"/>
        <w:ind w:firstLine="360"/>
      </w:pPr>
      <w:r>
        <w:rPr/>
      </w:r>
      <w:r>
        <w:rPr/>
      </w:r>
      <w:r>
        <w:t xml:space="preserve">Review of a revocation of administrative release pursuant to </w:t>
      </w:r>
      <w:r>
        <w:t>section 1856</w:t>
      </w:r>
      <w:r>
        <w:t xml:space="preserve"> must be by appeal, as provided under </w:t>
      </w:r>
      <w:r>
        <w:t>section 1813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§1857.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§1857.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