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TRESPASS</w:t>
      </w:r>
    </w:p>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127.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127.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