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Euthanasia by prescribed methods</w:t>
      </w:r>
    </w:p>
    <w:p>
      <w:pPr>
        <w:jc w:val="both"/>
        <w:spacing w:before="100" w:after="100"/>
        <w:ind w:start="360"/>
        <w:ind w:firstLine="360"/>
      </w:pPr>
      <w:r>
        <w:rPr/>
      </w:r>
      <w:r>
        <w:rPr/>
      </w:r>
      <w:r>
        <w:t xml:space="preserve">A cat or dog may not be destroyed by any method, agent or device except as described in this subchapter, </w:t>
      </w:r>
      <w:r>
        <w:t>subchapter III</w:t>
      </w:r>
      <w:r>
        <w:t xml:space="preserve"> and </w:t>
      </w:r>
      <w:r>
        <w:t>Title 7, chapter 739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1995, c. 490,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§1041. Euthanasia by prescribed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Euthanasia by prescribed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§1041. EUTHANASIA BY PRESCRIBED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