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Commercial fishing activities and commercial fishing operations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 activity directly related to commercial fishing or a commercial activity commonly associated with or supportive of commercial fishing, such as the manufacture or sale of ice, bait, traps or nets or the manufacture, installation or repair of boats, engines or other equipment commonly used on boats or in facilities that involve the catching, transporting, buying, selling or processing of seafood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w:pPr>
        <w:jc w:val="both"/>
        <w:spacing w:before="100" w:after="0"/>
        <w:ind w:start="720"/>
      </w:pPr>
      <w:r>
        <w:rPr/>
        <w:t>B</w:t>
        <w:t xml:space="preserve">.  </w:t>
      </w:r>
      <w:r>
        <w:rPr/>
      </w:r>
      <w:r>
        <w:t xml:space="preserve">"Commercial fishing operation" means a condition or activity that occurs in connection with the commercial harvesting, purchasing, selling or processing of seafood and includes noise, odors, operation of a vessel, operation of harvesting or processing equipment and transfer or storage of bait.</w:t>
      </w:r>
      <w:r>
        <w:t xml:space="preserve">  </w:t>
      </w:r>
      <w:r xmlns:wp="http://schemas.openxmlformats.org/drawingml/2010/wordprocessingDrawing" xmlns:w15="http://schemas.microsoft.com/office/word/2012/wordml">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2</w:t>
        <w:t xml:space="preserve">.  </w:t>
      </w:r>
      <w:r>
        <w:rPr>
          <w:b/>
        </w:rPr>
        <w:t xml:space="preserve">Private nuisance actions limited.</w:t>
        <w:t xml:space="preserve"> </w:t>
      </w:r>
      <w:r>
        <w:t xml:space="preserve"> </w:t>
      </w:r>
      <w:r>
        <w:t xml:space="preserve">A private nuisance action may not be maintained against a person engaged in a commercial fishing activity or commercial fishing operation so long as the activity or operation is undertaken in compliance with applicable licensing and permitting requirements and other applicable statutes, rules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w:pPr>
        <w:jc w:val="both"/>
        <w:spacing w:before="100" w:after="0"/>
        <w:ind w:start="360"/>
        <w:ind w:firstLine="360"/>
      </w:pPr>
      <w:r>
        <w:rPr>
          <w:b/>
        </w:rPr>
        <w:t>3</w:t>
        <w:t xml:space="preserve">.  </w:t>
      </w:r>
      <w:r>
        <w:rPr>
          <w:b/>
        </w:rPr>
        <w:t xml:space="preserve">Finfish aquaculture exemption.</w:t>
        <w:t xml:space="preserve"> </w:t>
      </w:r>
      <w:r>
        <w:t xml:space="preserve"> </w:t>
      </w:r>
      <w:r>
        <w:t xml:space="preserve">For purposes of this section, activities and conditions associated with licensed finfish aquaculture are not commercial fishing activities or commercial fishing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Commercial fishing activities and commercial fishing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Commercial fishing activities and commercial fishing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§2807. COMMERCIAL FISHING ACTIVITIES AND COMMERCIAL FISHING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