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Limited dual beano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§315-A. LIMITED DUAL BEANO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