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10</w:t>
      </w:r>
    </w:p>
    <w:p>
      <w:pPr>
        <w:jc w:val="center"/>
        <w:ind w:start="360"/>
        <w:spacing w:before="300" w:after="300"/>
      </w:pPr>
      <w:r>
        <w:rPr>
          <w:b/>
        </w:rPr>
        <w:t xml:space="preserve">MAINE REVISED UNIFORM FIDUCIARY ACCESS TO DIGITAL ASSETS ACT</w:t>
      </w:r>
    </w:p>
    <w:p>
      <w:pPr>
        <w:jc w:val="both"/>
        <w:spacing w:before="100" w:after="100"/>
        <w:ind w:start="1080" w:hanging="720"/>
      </w:pPr>
      <w:r>
        <w:rPr>
          <w:b/>
        </w:rPr>
        <w:t>§</w:t>
        <w:t>10-101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10-105</w:t>
        <w:t xml:space="preserve">.  </w:t>
      </w:r>
      <w:r>
        <w:rPr>
          <w:b/>
        </w:rPr>
        <w:t xml:space="preserve">Terms of service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10-116</w:t>
        <w:t xml:space="preserve">.  </w:t>
      </w:r>
      <w:r>
        <w:rPr>
          <w:b/>
        </w:rPr>
        <w:t xml:space="preserve">Custodian compliance and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10. MAINE REVISED UNIFORM FIDUCIARY ACCESS TO DIGITAL ASSETS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10. MAINE REVISED UNIFORM FIDUCIARY ACCESS TO DIGITAL ASSETS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10. MAINE REVISED UNIFORM FIDUCIARY ACCESS TO DIGITAL ASSETS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