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2-806</w:t>
        <w:t xml:space="preserve">.  </w:t>
      </w:r>
      <w:r>
        <w:rPr>
          <w:b/>
        </w:rPr>
        <w:t xml:space="preserve">Effect of criminal conviction on intestate succession, wills, joint assets, beneficiary designations and other property acquisition when restitution is owed to the decedent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241, §2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§2-806. Effect of criminal conviction on intestate succession, wills, joint assets, beneficiary designations and other property acquisition when restitution is owed to the decedent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§2-806. Effect of criminal conviction on intestate succession, wills, joint assets, beneficiary designations and other property acquisition when restitution is owed to the decedent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§2-806. EFFECT OF CRIMINAL CONVICTION ON INTESTATE SUCCESSION, WILLS, JOINT ASSETS, BENEFICIARY DESIGNATIONS AND OTHER PROPERTY ACQUISITION WHEN RESTITUTION IS OWED TO THE DECEDENT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