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w:t>
        <w:t xml:space="preserve">.  </w:t>
      </w:r>
      <w:r>
        <w:rPr>
          <w:b/>
        </w:rPr>
        <w:t xml:space="preserve">Jurisdiction over trustee and beneficiary</w:t>
      </w:r>
    </w:p>
    <w:p>
      <w:pPr>
        <w:jc w:val="both"/>
        <w:spacing w:before="100" w:after="0"/>
        <w:ind w:start="360"/>
        <w:ind w:firstLine="360"/>
      </w:pPr>
      <w:r>
        <w:rPr>
          <w:b/>
        </w:rPr>
        <w:t>1</w:t>
        <w:t xml:space="preserve">.  </w:t>
      </w:r>
      <w:r>
        <w:rPr>
          <w:b/>
        </w:rPr>
        <w:t xml:space="preserve">Trustee.</w:t>
        <w:t xml:space="preserve"> </w:t>
      </w:r>
      <w:r>
        <w:t xml:space="preserve"> </w:t>
      </w:r>
      <w:r>
        <w:t xml:space="preserve">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Beneficiaries; recipients.</w:t>
        <w:t xml:space="preserve"> </w:t>
      </w:r>
      <w:r>
        <w:t xml:space="preserve"> </w:t>
      </w:r>
      <w:r>
        <w:t xml:space="preserve">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Not exclusive.</w:t>
        <w:t xml:space="preserve"> </w:t>
      </w:r>
      <w:r>
        <w:t xml:space="preserve"> </w:t>
      </w:r>
      <w:r>
        <w:t xml:space="preserve">This section does not preclude other methods of obtaining jurisdiction over a trustee, beneficiary or other person receiving property from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 Jurisdiction over trustee and beneficiary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 Jurisdiction over trustee and beneficiary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§202. JURISDICTION OVER TRUSTEE AND BENEFICIARY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