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2104</w:t>
        <w:t xml:space="preserve">.  </w:t>
      </w:r>
      <w:r>
        <w:rPr>
          <w:b/>
        </w:rPr>
        <w:t xml:space="preserve">Common law and principles of equity</w:t>
      </w:r>
    </w:p>
    <w:p>
      <w:pPr>
        <w:jc w:val="both"/>
        <w:spacing w:before="100" w:after="100"/>
        <w:ind w:start="360"/>
        <w:ind w:firstLine="360"/>
      </w:pPr>
      <w:r>
        <w:rPr/>
      </w:r>
      <w:r>
        <w:rPr/>
      </w:r>
      <w:r>
        <w:t xml:space="preserve">The common law and principles of equity supplement this Act, except to the extent modified by this Act or law of this State other than this Act.</w:t>
      </w:r>
      <w:r>
        <w:t xml:space="preserve">  </w:t>
      </w:r>
      <w:r xmlns:wp="http://schemas.openxmlformats.org/drawingml/2010/wordprocessingDrawing" xmlns:w15="http://schemas.microsoft.com/office/word/2012/wordml">
        <w:rPr>
          <w:rFonts w:ascii="Arial" w:hAnsi="Arial" w:cs="Arial"/>
          <w:sz w:val="22"/>
          <w:szCs w:val="22"/>
        </w:rPr>
        <w:t xml:space="preserve">[PL 2019, c. 301,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§2104. Common law and principles of equity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§2104. Common law and principles of equity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§2104. COMMON LAW AND PRINCIPLES OF EQUITY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