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Choice of law as to meaning and effect of governing instrument</w:t>
      </w:r>
    </w:p>
    <w:p>
      <w:pPr>
        <w:jc w:val="both"/>
        <w:spacing w:before="100" w:after="100"/>
        <w:ind w:start="360"/>
        <w:ind w:firstLine="360"/>
      </w:pPr>
      <w:r>
        <w:rPr/>
      </w:r>
      <w:r>
        <w:rPr/>
      </w:r>
      <w:r>
        <w:t xml:space="preserve">The meaning and legal effect of a governing instrument is determined by the local law of the state selected in the governing instrument, unless the application of that law is contrary to the provisions relating to the elective share described in </w:t>
      </w:r>
      <w:r>
        <w:t>Part 2</w:t>
      </w:r>
      <w:r>
        <w:t xml:space="preserve">, the provisions relating to exempt property and allowances described in </w:t>
      </w:r>
      <w:r>
        <w:t>Part 4</w:t>
      </w:r>
      <w:r>
        <w:t xml:space="preserve"> or any other public policy of this State otherwise applicable to the disposition.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Choice of law as to meaning and effect of governing instrument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Choice of law as to meaning and effect of governing instrument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§2-703. CHOICE OF LAW AS TO MEANING AND EFFECT OF GOVERNING INSTRUMENT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