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Disclaimer of interest 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§2-906. DISCLAIMER OF INTEREST 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