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3-1008</w:t>
        <w:t xml:space="preserve">.  </w:t>
      </w:r>
      <w:r>
        <w:rPr>
          <w:b/>
        </w:rPr>
        <w:t xml:space="preserve">Subsequent administration</w:t>
      </w:r>
    </w:p>
    <w:p>
      <w:pPr>
        <w:jc w:val="both"/>
        <w:spacing w:before="100" w:after="100"/>
        <w:ind w:start="360"/>
        <w:ind w:firstLine="360"/>
      </w:pPr>
      <w:r>
        <w:rPr/>
      </w:r>
      <w:r>
        <w:rPr/>
      </w:r>
      <w:r>
        <w:t xml:space="preserve">If other property of the estate is discovered after an estate has been settled and the personal representative discharged or after one year after a closing statement has been filed, the court upon petition of any interested person and upon notice as it directs may appoint the same or a successor personal representative to administer the subsequently discovered estate.  If a new appointment is made, unless the court orders otherwise, the provisions of this Code apply as appropriate, but no claim previously barred may be asserted in the subsequent administration.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§3-1008. Subsequent administration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§3-1008. Subsequent administration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§3-1008. SUBSEQUENT ADMINISTRATION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