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Duty of personal representative; information to heirs and devisees</w:t>
      </w:r>
    </w:p>
    <w:p>
      <w:pPr>
        <w:jc w:val="both"/>
        <w:spacing w:before="100" w:after="100"/>
        <w:ind w:start="360"/>
        <w:ind w:firstLine="360"/>
      </w:pPr>
      <w:r>
        <w:rPr/>
      </w:r>
      <w:r>
        <w:rPr/>
      </w:r>
      <w:r>
        <w:t xml:space="preserve">Not later than 30 days after appointment every personal representative, except any special administrator, shall give information of the appointment to the heirs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a statement that the estate is being administered by the personal representative under the Code without supervision by the court but that recipients are entitled to information regarding the administration from the personal representative and may petition the court in any matter relating to the estate, including distribution of assets and expenses of administration.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representative's failure to give this information is a breach of duty to the persons concerned but does not affect the validity of the personal representative's appointment, powers or other duties.  A personal representative may inform other persons of the personal representative's appointment by delivery or ordinary first class mail.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Duty of personal representative; information to heirs and devisees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Duty of personal representative; information to heirs and devisees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§3-705. DUTY OF PERSONAL REPRESENTATIVE; INFORMATION TO HEIRS AND DEVISEES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