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3-914</w:t>
        <w:t xml:space="preserve">.  </w:t>
      </w:r>
      <w:r>
        <w:rPr>
          <w:b/>
        </w:rPr>
        <w:t xml:space="preserve">Disposition of unclaimed assets</w:t>
      </w:r>
    </w:p>
    <w:p>
      <w:pPr>
        <w:jc w:val="both"/>
        <w:spacing w:before="100" w:after="100"/>
        <w:ind w:start="360"/>
        <w:ind w:firstLine="360"/>
      </w:pPr>
      <w:r>
        <w:rPr/>
      </w:r>
      <w:r>
        <w:rPr/>
      </w:r>
      <w:r>
        <w:t xml:space="preserve">If an heir, devisee or claimant cannot be found, the personal representative shall distribute the share of the missing person to the person's conservator, if any; otherwise it must be disposed of according to </w:t>
      </w:r>
      <w:r>
        <w:t>Title 33, chapter 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676, Pt. A, §29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PL 2021, c. 676, Pt. A,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§3-914. Disposition of unclaimed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§3-914. Disposition of unclaimed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§3-914. DISPOSITION OF UNCLAIMED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