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5-113</w:t>
        <w:t xml:space="preserve">.  </w:t>
      </w:r>
      <w:r>
        <w:rPr>
          <w:b/>
        </w:rPr>
        <w:t xml:space="preserve">Notice of hearing</w:t>
      </w:r>
    </w:p>
    <w:p>
      <w:pPr>
        <w:jc w:val="both"/>
        <w:spacing w:before="100" w:after="0"/>
        <w:ind w:start="360"/>
        <w:ind w:firstLine="360"/>
      </w:pPr>
      <w:r>
        <w:rPr>
          <w:b/>
        </w:rPr>
        <w:t>1</w:t>
        <w:t xml:space="preserve">.  </w:t>
      </w:r>
      <w:r>
        <w:rPr>
          <w:b/>
        </w:rPr>
        <w:t xml:space="preserve">Notice by movant.</w:t>
        <w:t xml:space="preserve"> </w:t>
      </w:r>
      <w:r>
        <w:t xml:space="preserve"> </w:t>
      </w:r>
      <w:r>
        <w:t xml:space="preserve">If notice of a hearing under this Act is required, the movant shall give notice of the date, time and place of the hearing to the person to be notified unless otherwise ordered by the court for good cause.  Except as otherwise provided in this Act, notice must be given in compliance with the Maine Rules of Probate Procedure, Rule 4 or the Maine Rules of Civil Procedure, Rule 4 at least 14 days before the hearing.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Proof of notice.</w:t>
        <w:t xml:space="preserve"> </w:t>
      </w:r>
      <w:r>
        <w:t xml:space="preserve"> </w:t>
      </w:r>
      <w:r>
        <w:t xml:space="preserve">Proof of notice of a hearing under this Act must be filed before the hearing.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417, Pt. A, §10 (AMD).]</w:t>
      </w:r>
    </w:p>
    <w:p>
      <w:pPr>
        <w:jc w:val="both"/>
        <w:spacing w:before="100" w:after="0"/>
        <w:ind w:start="360"/>
        <w:ind w:firstLine="360"/>
      </w:pPr>
      <w:r>
        <w:rPr>
          <w:b/>
        </w:rPr>
        <w:t>3</w:t>
        <w:t xml:space="preserve">.  </w:t>
      </w:r>
      <w:r>
        <w:rPr>
          <w:b/>
        </w:rPr>
        <w:t xml:space="preserve">Type size; plain language.</w:t>
        <w:t xml:space="preserve"> </w:t>
      </w:r>
      <w:r>
        <w:t xml:space="preserve"> </w:t>
      </w:r>
      <w:r>
        <w:t xml:space="preserve">Notice of a hearing under this Act must be in at least 16-point type, in plain language and, to the extent feasible, in a language in which the recipient is proficient.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A, §10 (AMD).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§5-113. Notice of hearing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§5-113. Notice of hearing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§5-113. NOTICE OF HEARING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