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§5-315. SPECIAL LIMITATIONS ON GUARDIAN'S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