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5-505</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5‑501</w:t>
      </w:r>
      <w:r>
        <w:t xml:space="preserve">, the court shall set a date, time and place for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5‑501</w:t>
      </w:r>
      <w:r>
        <w:t xml:space="preserve"> and notice of the hearing under </w:t>
      </w:r>
      <w:r>
        <w:t>subsection 1</w:t>
      </w:r>
      <w:r>
        <w:t xml:space="preserve">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hearing under </w:t>
      </w:r>
      <w:r>
        <w:t>subsection 1</w:t>
      </w:r>
      <w:r>
        <w:t xml:space="preserve">, notice of the hearing also must be given to the persons listed in the petition and any other person interested in the respondent's welfare as the court determines.  Failure to give notice under this subsection does not preclude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filed under this Act after the court has ordered a protective arrangement or protective arrangements under this Part, together with a copy of the petition, must be given to the respondent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§5-505.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§5-505.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§5-505.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