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5-708</w:t>
        <w:t xml:space="preserve">.  </w:t>
      </w:r>
      <w:r>
        <w:rPr>
          <w:b/>
        </w:rPr>
        <w:t xml:space="preserve">No change in rights to services</w:t>
      </w:r>
    </w:p>
    <w:p>
      <w:pPr>
        <w:jc w:val="both"/>
        <w:spacing w:before="100" w:after="100"/>
        <w:ind w:start="360"/>
        <w:ind w:firstLine="360"/>
      </w:pPr>
      <w:r>
        <w:rPr/>
      </w:r>
      <w:r>
        <w:rPr/>
      </w:r>
      <w:r>
        <w:t xml:space="preserve">The appointment of a public guardian or conservator in no way enlarges or diminishes the individual subject to guardianship's or protected person's right to services made available to all persons in need of service or protection in the State except for the provision of guardianship or conservatorship services as provided under this Article.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§5-708. No change in rights to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§5-708. No change in rights to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§5-708. NO CHANGE IN RIGHTS TO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