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5-923</w:t>
        <w:t xml:space="preserve">.  </w:t>
      </w:r>
      <w:r>
        <w:rPr>
          <w:b/>
        </w:rPr>
        <w:t xml:space="preserve">Remedies under other law</w:t>
      </w:r>
    </w:p>
    <w:p>
      <w:pPr>
        <w:jc w:val="both"/>
        <w:spacing w:before="100" w:after="100"/>
        <w:ind w:start="360"/>
        <w:ind w:firstLine="360"/>
      </w:pPr>
      <w:r>
        <w:rPr/>
      </w:r>
      <w:r>
        <w:rPr/>
      </w:r>
      <w:r>
        <w:t xml:space="preserve">The remedies under this Part are not exclusive and do not abrogate any right or remedy under the law of this State other than this Part.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§5-923. Remedies under other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§5-923. Remedies under other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§5-923. REMEDIES UNDER OTHER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