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1613</w:t>
        <w:t xml:space="preserve">.  </w:t>
      </w:r>
      <w:r>
        <w:rPr>
          <w:b/>
        </w:rPr>
        <w:t xml:space="preserve">Applicability; Maine Rules of Civil Procedure, Rule 12(b)</w:t>
      </w:r>
    </w:p>
    <w:p>
      <w:pPr>
        <w:jc w:val="both"/>
        <w:spacing w:before="100" w:after="100"/>
        <w:ind w:start="360"/>
        <w:ind w:firstLine="360"/>
      </w:pPr>
      <w:r>
        <w:rPr/>
      </w:r>
      <w:r>
        <w:rPr/>
      </w:r>
      <w:r>
        <w:t xml:space="preserve">If a record of the proceeding is filed under </w:t>
      </w:r>
      <w:r>
        <w:t>section 1611</w:t>
      </w:r>
      <w:r>
        <w:t xml:space="preserve"> or </w:t>
      </w:r>
      <w:r>
        <w:t>section 1612, subsection 3</w:t>
      </w:r>
      <w:r>
        <w:t xml:space="preserve">, the alleged father is not required to file an additional denial of paternity.  He may assert any defense, in law or fact.  Any defense must be asserted within 25 days after the mailing by ordinary mail of a notice to the alleged father that the record has been filed in court.  The notice must contain the substance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§1613. Applicability; Maine Rules of Civil Procedure, Rule 12(b)</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§1613. Applicability; Maine Rules of Civil Procedure, Rule 12(b)</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§1613. APPLICABILITY; MAINE RULES OF CIVIL PROCEDURE, RULE 12(B)</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