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1737</w:t>
        <w:t xml:space="preserve">.  </w:t>
      </w:r>
      <w:r>
        <w:rPr>
          <w:b/>
        </w:rPr>
        <w:t xml:space="preserve">Priority</w:t>
      </w:r>
    </w:p>
    <w:p>
      <w:pPr>
        <w:jc w:val="both"/>
        <w:spacing w:before="100" w:after="100"/>
        <w:ind w:start="360"/>
        <w:ind w:firstLine="360"/>
      </w:pPr>
      <w:r>
        <w:rPr/>
      </w:r>
      <w:r>
        <w:rPr/>
      </w:r>
      <w:r>
        <w:t xml:space="preserve">If a question of existence or exercise of jurisdiction under this Act is raised in a child custody proceeding, the question, upon request of a party, must be given priority on the calendar and handled expeditiously.</w:t>
      </w:r>
      <w:r>
        <w:t xml:space="preserve">  </w:t>
      </w:r>
      <w:r xmlns:wp="http://schemas.openxmlformats.org/drawingml/2010/wordprocessingDrawing" xmlns:w15="http://schemas.microsoft.com/office/word/2012/wordml">
        <w:rPr>
          <w:rFonts w:ascii="Arial" w:hAnsi="Arial" w:cs="Arial"/>
          <w:sz w:val="22"/>
          <w:szCs w:val="22"/>
        </w:rPr>
        <w:t xml:space="preserve">[PL 1999, c. 486, §3 (NEW); PL 1999, c. 486, §6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486, §3 (NEW). PL 1999, c. 486, §6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§1737. Priority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§1737. Priority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19-A, §1737. PRIORITY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