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Dedicated funds</w:t>
      </w:r>
    </w:p>
    <w:p>
      <w:pPr>
        <w:jc w:val="both"/>
        <w:spacing w:before="100" w:after="100"/>
        <w:ind w:start="360"/>
        <w:ind w:firstLine="360"/>
      </w:pPr>
      <w:r>
        <w:rPr/>
      </w:r>
      <w:r>
        <w:rPr/>
      </w:r>
      <w:r>
        <w:t xml:space="preserve">Except as provided in </w:t>
      </w:r>
      <w:r>
        <w:t>section 2103, subsections 3</w:t>
      </w:r>
      <w:r>
        <w:t xml:space="preserve"> and </w:t>
      </w:r>
      <w:r>
        <w:t>3‑A</w:t>
      </w:r>
      <w:r>
        <w:t xml:space="preserve">, all collections, fees and incentive payments received by the department from child support collections must be dedicated to reduce the State's General Fund share of Temporary Assistance for Needy Families and to cover the costs of making such collections.  The department may not expend more than $5,500,000 in any fiscal year of incentive payment revenue for the purpose of covering the costs of making child support collections.</w:t>
      </w:r>
      <w:r>
        <w:t xml:space="preserve">  </w:t>
      </w:r>
      <w:r xmlns:wp="http://schemas.openxmlformats.org/drawingml/2010/wordprocessingDrawing" xmlns:w15="http://schemas.microsoft.com/office/word/2012/wordml">
        <w:rPr>
          <w:rFonts w:ascii="Arial" w:hAnsi="Arial" w:cs="Arial"/>
          <w:sz w:val="22"/>
          <w:szCs w:val="22"/>
        </w:rPr>
        <w:t xml:space="preserve">[PL 2013, c. 595, Pt. P,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530, Pt. A, §34 (AMD). PL 1999, c. 401, Pt. S, §1 (AMD). PL 2011, c. 477, Pt. L, §3 (AMD). PL 2013, c. 595, Pt. P,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§2402. Dedicated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Dedicated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§2402. DEDICATED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